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97" w:rsidRDefault="00BE3397" w:rsidP="00BE3397">
      <w:pPr>
        <w:jc w:val="center"/>
        <w:rPr>
          <w:rFonts w:ascii="標楷體" w:eastAsia="標楷體" w:hAnsi="標楷體"/>
          <w:sz w:val="32"/>
          <w:szCs w:val="32"/>
        </w:rPr>
      </w:pPr>
      <w:r w:rsidRPr="00BE3397">
        <w:rPr>
          <w:rFonts w:ascii="標楷體" w:eastAsia="標楷體" w:hAnsi="標楷體" w:hint="eastAsia"/>
          <w:sz w:val="32"/>
          <w:szCs w:val="32"/>
        </w:rPr>
        <w:t>新北市瑞芳區九份國民小學</w:t>
      </w:r>
    </w:p>
    <w:p w:rsidR="00761477" w:rsidRPr="00BE3397" w:rsidRDefault="00BE3397" w:rsidP="00BE3397">
      <w:pPr>
        <w:jc w:val="center"/>
        <w:rPr>
          <w:rFonts w:ascii="標楷體" w:eastAsia="標楷體" w:hAnsi="標楷體"/>
          <w:sz w:val="32"/>
          <w:szCs w:val="32"/>
        </w:rPr>
      </w:pPr>
      <w:r w:rsidRPr="00BE3397">
        <w:rPr>
          <w:rFonts w:ascii="標楷體" w:eastAsia="標楷體" w:hAnsi="標楷體" w:hint="eastAsia"/>
          <w:sz w:val="32"/>
          <w:szCs w:val="32"/>
        </w:rPr>
        <w:t>108</w:t>
      </w:r>
      <w:r w:rsidR="007C6817">
        <w:rPr>
          <w:rFonts w:ascii="標楷體" w:eastAsia="標楷體" w:hAnsi="標楷體" w:hint="eastAsia"/>
          <w:sz w:val="32"/>
          <w:szCs w:val="32"/>
        </w:rPr>
        <w:t>-109</w:t>
      </w:r>
      <w:bookmarkStart w:id="0" w:name="_GoBack"/>
      <w:bookmarkEnd w:id="0"/>
      <w:r w:rsidRPr="00BE3397">
        <w:rPr>
          <w:rFonts w:ascii="標楷體" w:eastAsia="標楷體" w:hAnsi="標楷體" w:hint="eastAsia"/>
          <w:sz w:val="32"/>
          <w:szCs w:val="32"/>
        </w:rPr>
        <w:t>學年度推動臺灣母語日實施計畫</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壹、依據：</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一、教育部101年11月1日</w:t>
      </w:r>
      <w:proofErr w:type="gramStart"/>
      <w:r w:rsidRPr="00BE3397">
        <w:rPr>
          <w:rFonts w:ascii="標楷體" w:eastAsia="標楷體" w:hAnsi="標楷體" w:cs="Arial"/>
          <w:color w:val="000000"/>
          <w:kern w:val="0"/>
          <w:szCs w:val="24"/>
        </w:rPr>
        <w:t>臺</w:t>
      </w:r>
      <w:proofErr w:type="gramEnd"/>
      <w:r w:rsidRPr="00BE3397">
        <w:rPr>
          <w:rFonts w:ascii="標楷體" w:eastAsia="標楷體" w:hAnsi="標楷體" w:cs="Arial"/>
          <w:color w:val="000000"/>
          <w:kern w:val="0"/>
          <w:szCs w:val="24"/>
        </w:rPr>
        <w:t>語字第1010196705C號令修正之「教育部高級中等以下學校及幼稚園推動臺灣母語日活動實施要點」。</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二、教育部107年3月6日</w:t>
      </w:r>
      <w:proofErr w:type="gramStart"/>
      <w:r w:rsidRPr="00BE3397">
        <w:rPr>
          <w:rFonts w:ascii="標楷體" w:eastAsia="標楷體" w:hAnsi="標楷體" w:cs="Arial"/>
          <w:color w:val="000000"/>
          <w:kern w:val="0"/>
          <w:szCs w:val="24"/>
        </w:rPr>
        <w:t>臺教國署國</w:t>
      </w:r>
      <w:proofErr w:type="gramEnd"/>
      <w:r w:rsidRPr="00BE3397">
        <w:rPr>
          <w:rFonts w:ascii="標楷體" w:eastAsia="標楷體" w:hAnsi="標楷體" w:cs="Arial"/>
          <w:color w:val="000000"/>
          <w:kern w:val="0"/>
          <w:szCs w:val="24"/>
        </w:rPr>
        <w:t>字第1070001409B號令修正之「教育部國民及學前教育署推動國民小學及國民中學本土教育補助要點」。</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三、教育部107年3月2日以</w:t>
      </w:r>
      <w:proofErr w:type="gramStart"/>
      <w:r w:rsidRPr="00BE3397">
        <w:rPr>
          <w:rFonts w:ascii="標楷體" w:eastAsia="標楷體" w:hAnsi="標楷體" w:cs="Arial"/>
          <w:color w:val="000000"/>
          <w:kern w:val="0"/>
          <w:szCs w:val="24"/>
        </w:rPr>
        <w:t>臺</w:t>
      </w:r>
      <w:proofErr w:type="gramEnd"/>
      <w:r w:rsidRPr="00BE3397">
        <w:rPr>
          <w:rFonts w:ascii="標楷體" w:eastAsia="標楷體" w:hAnsi="標楷體" w:cs="Arial"/>
          <w:color w:val="000000"/>
          <w:kern w:val="0"/>
          <w:szCs w:val="24"/>
        </w:rPr>
        <w:t>教授</w:t>
      </w:r>
      <w:proofErr w:type="gramStart"/>
      <w:r w:rsidRPr="00BE3397">
        <w:rPr>
          <w:rFonts w:ascii="標楷體" w:eastAsia="標楷體" w:hAnsi="標楷體" w:cs="Arial"/>
          <w:color w:val="000000"/>
          <w:kern w:val="0"/>
          <w:szCs w:val="24"/>
        </w:rPr>
        <w:t>國部字第1070015449</w:t>
      </w:r>
      <w:proofErr w:type="gramEnd"/>
      <w:r w:rsidRPr="00BE3397">
        <w:rPr>
          <w:rFonts w:ascii="標楷體" w:eastAsia="標楷體" w:hAnsi="標楷體" w:cs="Arial"/>
          <w:color w:val="000000"/>
          <w:kern w:val="0"/>
          <w:szCs w:val="24"/>
        </w:rPr>
        <w:t>B號令訂定發布「十二年國民基本教育課程綱要國民中小學語文領域－本土語文」。</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四、教育部107年6月22日</w:t>
      </w:r>
      <w:proofErr w:type="gramStart"/>
      <w:r w:rsidRPr="00BE3397">
        <w:rPr>
          <w:rFonts w:ascii="標楷體" w:eastAsia="標楷體" w:hAnsi="標楷體" w:cs="Arial"/>
          <w:color w:val="000000"/>
          <w:kern w:val="0"/>
          <w:szCs w:val="24"/>
        </w:rPr>
        <w:t>臺教國署國</w:t>
      </w:r>
      <w:proofErr w:type="gramEnd"/>
      <w:r w:rsidRPr="00BE3397">
        <w:rPr>
          <w:rFonts w:ascii="標楷體" w:eastAsia="標楷體" w:hAnsi="標楷體" w:cs="Arial"/>
          <w:color w:val="000000"/>
          <w:kern w:val="0"/>
          <w:szCs w:val="24"/>
        </w:rPr>
        <w:t>字第1070056473B號令修正之「提升國民中小學本土語文師資專業素養改進措施」。</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五、新北市推動高級中等以下學校及幼稚園臺灣母語日實施計畫。</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六、108年7月16日新</w:t>
      </w:r>
      <w:proofErr w:type="gramStart"/>
      <w:r w:rsidRPr="00BE3397">
        <w:rPr>
          <w:rFonts w:ascii="標楷體" w:eastAsia="標楷體" w:hAnsi="標楷體" w:cs="Arial"/>
          <w:color w:val="000000"/>
          <w:kern w:val="0"/>
          <w:szCs w:val="24"/>
        </w:rPr>
        <w:t>北教國</w:t>
      </w:r>
      <w:proofErr w:type="gramEnd"/>
      <w:r w:rsidRPr="00BE3397">
        <w:rPr>
          <w:rFonts w:ascii="標楷體" w:eastAsia="標楷體" w:hAnsi="標楷體" w:cs="Arial"/>
          <w:color w:val="000000"/>
          <w:kern w:val="0"/>
          <w:szCs w:val="24"/>
        </w:rPr>
        <w:t>字第1081268469號函辦理。</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七、新北市108-111年國民中小學推動本土(閩南、客家、原住民)語文教學中程計畫。</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貳、目的：</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一、配合十二年國教課程，重視本土語文教學，落實本土教育。</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二、培養學生本土語文聽、說、讀、寫的基本能力，以擴充生活經驗，拓展學習領域。</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三、加強本校本土語文教師專門知識研習，提供教師教學新知、本土語文教材教法，持續專業成長，提昇本土語文之教學能力與教學品質。</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四、鼓勵本校母語教師體驗本土文化之美，提升教學興趣與研究成效。</w:t>
      </w:r>
    </w:p>
    <w:p w:rsidR="00BE3397" w:rsidRPr="00BE3397" w:rsidRDefault="00BE3397" w:rsidP="00BE3397">
      <w:pPr>
        <w:widowControl/>
        <w:spacing w:before="240" w:after="240"/>
        <w:ind w:rightChars="-82" w:right="-197"/>
        <w:rPr>
          <w:rFonts w:ascii="標楷體" w:eastAsia="標楷體" w:hAnsi="標楷體" w:cs="新細明體"/>
          <w:kern w:val="0"/>
          <w:szCs w:val="24"/>
        </w:rPr>
      </w:pPr>
      <w:r w:rsidRPr="00BE3397">
        <w:rPr>
          <w:rFonts w:ascii="標楷體" w:eastAsia="標楷體" w:hAnsi="標楷體" w:cs="Arial"/>
          <w:color w:val="000000"/>
          <w:kern w:val="0"/>
          <w:szCs w:val="24"/>
        </w:rPr>
        <w:t>五、增進學生對於本土文化的認識，培養珍視愛惜與傳承創新本土文化的觀念。</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六、透過本土活動的探索體驗，養成主動觀察、解決問題的能力，並激發學生文化傳承之使命。</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lastRenderedPageBreak/>
        <w:t>七、培養學生有效應用族群語文，從中思考、理解、推理、協調、討論、欣賞、創作與解決問題。</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八、培養學生探索與熱愛族群語文之興趣，並養成主動學習的習慣。</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九、成立語文培訓社團，並提供</w:t>
      </w:r>
      <w:proofErr w:type="gramStart"/>
      <w:r w:rsidRPr="00BE3397">
        <w:rPr>
          <w:rFonts w:ascii="標楷體" w:eastAsia="標楷體" w:hAnsi="標楷體" w:cs="Arial"/>
          <w:color w:val="000000"/>
          <w:kern w:val="0"/>
          <w:szCs w:val="24"/>
        </w:rPr>
        <w:t>非閩語</w:t>
      </w:r>
      <w:proofErr w:type="gramEnd"/>
      <w:r w:rsidRPr="00BE3397">
        <w:rPr>
          <w:rFonts w:ascii="標楷體" w:eastAsia="標楷體" w:hAnsi="標楷體" w:cs="Arial"/>
          <w:color w:val="000000"/>
          <w:kern w:val="0"/>
          <w:szCs w:val="24"/>
        </w:rPr>
        <w:t>為母語老師</w:t>
      </w:r>
      <w:proofErr w:type="gramStart"/>
      <w:r w:rsidRPr="00BE3397">
        <w:rPr>
          <w:rFonts w:ascii="標楷體" w:eastAsia="標楷體" w:hAnsi="標楷體" w:cs="Arial"/>
          <w:color w:val="000000"/>
          <w:kern w:val="0"/>
          <w:szCs w:val="24"/>
        </w:rPr>
        <w:t>學習閩語管道</w:t>
      </w:r>
      <w:proofErr w:type="gramEnd"/>
      <w:r w:rsidRPr="00BE3397">
        <w:rPr>
          <w:rFonts w:ascii="標楷體" w:eastAsia="標楷體" w:hAnsi="標楷體" w:cs="Arial"/>
          <w:color w:val="000000"/>
          <w:kern w:val="0"/>
          <w:szCs w:val="24"/>
        </w:rPr>
        <w:t>機會</w:t>
      </w:r>
      <w:r w:rsidR="00377291">
        <w:rPr>
          <w:rFonts w:ascii="標楷體" w:eastAsia="標楷體" w:hAnsi="標楷體" w:cs="Arial" w:hint="eastAsia"/>
          <w:color w:val="000000"/>
          <w:kern w:val="0"/>
          <w:szCs w:val="24"/>
        </w:rPr>
        <w:t>。</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十、鼓勵親子在家以本土語言溝通，以增進本土語文教學之效果。</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參、推動小組：</w:t>
      </w:r>
    </w:p>
    <w:tbl>
      <w:tblPr>
        <w:tblW w:w="8639" w:type="dxa"/>
        <w:tblCellMar>
          <w:top w:w="15" w:type="dxa"/>
          <w:left w:w="15" w:type="dxa"/>
          <w:bottom w:w="15" w:type="dxa"/>
          <w:right w:w="15" w:type="dxa"/>
        </w:tblCellMar>
        <w:tblLook w:val="04A0" w:firstRow="1" w:lastRow="0" w:firstColumn="1" w:lastColumn="0" w:noHBand="0" w:noVBand="1"/>
      </w:tblPr>
      <w:tblGrid>
        <w:gridCol w:w="680"/>
        <w:gridCol w:w="1400"/>
        <w:gridCol w:w="1740"/>
        <w:gridCol w:w="3402"/>
        <w:gridCol w:w="1417"/>
      </w:tblGrid>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jc w:val="center"/>
              <w:rPr>
                <w:rFonts w:ascii="標楷體" w:eastAsia="標楷體" w:hAnsi="標楷體" w:cs="新細明體"/>
                <w:kern w:val="0"/>
                <w:szCs w:val="24"/>
              </w:rPr>
            </w:pPr>
            <w:r w:rsidRPr="00BE3397">
              <w:rPr>
                <w:rFonts w:ascii="標楷體" w:eastAsia="標楷體" w:hAnsi="標楷體" w:cs="Arial"/>
                <w:color w:val="000000"/>
                <w:kern w:val="0"/>
                <w:szCs w:val="24"/>
              </w:rPr>
              <w:t>編號</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jc w:val="center"/>
              <w:rPr>
                <w:rFonts w:ascii="標楷體" w:eastAsia="標楷體" w:hAnsi="標楷體" w:cs="新細明體"/>
                <w:kern w:val="0"/>
                <w:szCs w:val="24"/>
              </w:rPr>
            </w:pPr>
            <w:r w:rsidRPr="00BE3397">
              <w:rPr>
                <w:rFonts w:ascii="標楷體" w:eastAsia="標楷體" w:hAnsi="標楷體" w:cs="Arial"/>
                <w:color w:val="000000"/>
                <w:kern w:val="0"/>
                <w:szCs w:val="24"/>
              </w:rPr>
              <w:t>職 稱</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jc w:val="center"/>
              <w:rPr>
                <w:rFonts w:ascii="標楷體" w:eastAsia="標楷體" w:hAnsi="標楷體" w:cs="新細明體"/>
                <w:kern w:val="0"/>
                <w:szCs w:val="24"/>
              </w:rPr>
            </w:pPr>
            <w:r w:rsidRPr="00BE3397">
              <w:rPr>
                <w:rFonts w:ascii="標楷體" w:eastAsia="標楷體" w:hAnsi="標楷體" w:cs="Arial"/>
                <w:color w:val="000000"/>
                <w:kern w:val="0"/>
                <w:szCs w:val="24"/>
              </w:rPr>
              <w:t>姓名</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jc w:val="center"/>
              <w:rPr>
                <w:rFonts w:ascii="標楷體" w:eastAsia="標楷體" w:hAnsi="標楷體" w:cs="新細明體"/>
                <w:kern w:val="0"/>
                <w:szCs w:val="24"/>
              </w:rPr>
            </w:pPr>
            <w:r w:rsidRPr="00BE3397">
              <w:rPr>
                <w:rFonts w:ascii="標楷體" w:eastAsia="標楷體" w:hAnsi="標楷體" w:cs="Arial"/>
                <w:color w:val="000000"/>
                <w:kern w:val="0"/>
                <w:szCs w:val="24"/>
              </w:rPr>
              <w:t xml:space="preserve">執 掌 業 </w:t>
            </w:r>
            <w:proofErr w:type="gramStart"/>
            <w:r w:rsidRPr="00BE3397">
              <w:rPr>
                <w:rFonts w:ascii="標楷體" w:eastAsia="標楷體" w:hAnsi="標楷體" w:cs="Arial"/>
                <w:color w:val="000000"/>
                <w:kern w:val="0"/>
                <w:szCs w:val="24"/>
              </w:rPr>
              <w:t>務</w:t>
            </w:r>
            <w:proofErr w:type="gramEnd"/>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jc w:val="center"/>
              <w:rPr>
                <w:rFonts w:ascii="標楷體" w:eastAsia="標楷體" w:hAnsi="標楷體" w:cs="新細明體"/>
                <w:kern w:val="0"/>
                <w:szCs w:val="24"/>
              </w:rPr>
            </w:pPr>
            <w:r w:rsidRPr="00BE3397">
              <w:rPr>
                <w:rFonts w:ascii="標楷體" w:eastAsia="標楷體" w:hAnsi="標楷體" w:cs="Arial"/>
                <w:color w:val="000000"/>
                <w:kern w:val="0"/>
                <w:szCs w:val="24"/>
              </w:rPr>
              <w:t xml:space="preserve">備 </w:t>
            </w:r>
            <w:proofErr w:type="gramStart"/>
            <w:r w:rsidRPr="00BE3397">
              <w:rPr>
                <w:rFonts w:ascii="標楷體" w:eastAsia="標楷體" w:hAnsi="標楷體" w:cs="Arial"/>
                <w:color w:val="000000"/>
                <w:kern w:val="0"/>
                <w:szCs w:val="24"/>
              </w:rPr>
              <w:t>註</w:t>
            </w:r>
            <w:proofErr w:type="gramEnd"/>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1</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校 長</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542528" w:rsidP="00BE3397">
            <w:pPr>
              <w:widowControl/>
              <w:spacing w:before="240" w:after="240"/>
              <w:rPr>
                <w:rFonts w:ascii="標楷體" w:eastAsia="標楷體" w:hAnsi="標楷體" w:cs="新細明體"/>
                <w:kern w:val="0"/>
                <w:szCs w:val="24"/>
              </w:rPr>
            </w:pPr>
            <w:proofErr w:type="gramStart"/>
            <w:r>
              <w:rPr>
                <w:rFonts w:ascii="標楷體" w:eastAsia="標楷體" w:hAnsi="標楷體" w:cs="新細明體" w:hint="eastAsia"/>
                <w:kern w:val="0"/>
                <w:szCs w:val="24"/>
              </w:rPr>
              <w:t>余屹</w:t>
            </w:r>
            <w:proofErr w:type="gramEnd"/>
            <w:r>
              <w:rPr>
                <w:rFonts w:ascii="標楷體" w:eastAsia="標楷體" w:hAnsi="標楷體" w:cs="新細明體" w:hint="eastAsia"/>
                <w:kern w:val="0"/>
                <w:szCs w:val="24"/>
              </w:rPr>
              <w:t>安</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綜理統籌本計畫各項事務</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召 集 人</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2</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家長會長</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542528"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游學堅</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督導本計畫各項事務執行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家長代表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3</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教</w:t>
            </w:r>
            <w:r w:rsidR="00F76BDE">
              <w:rPr>
                <w:rFonts w:ascii="標楷體" w:eastAsia="標楷體" w:hAnsi="標楷體" w:cs="Arial" w:hint="eastAsia"/>
                <w:color w:val="000000"/>
                <w:kern w:val="0"/>
                <w:szCs w:val="24"/>
              </w:rPr>
              <w:t>務</w:t>
            </w:r>
            <w:r w:rsidRPr="00BE3397">
              <w:rPr>
                <w:rFonts w:ascii="標楷體" w:eastAsia="標楷體" w:hAnsi="標楷體" w:cs="Arial"/>
                <w:color w:val="000000"/>
                <w:kern w:val="0"/>
                <w:szCs w:val="24"/>
              </w:rPr>
              <w:t>主任</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0305BD"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曾旭良</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各項業務之規劃與執行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執行秘書</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4</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總務主任</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0305BD"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郭嘉慶</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設備採購事宜</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行政代表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F76BDE" w:rsidP="00BE3397">
            <w:pPr>
              <w:widowControl/>
              <w:spacing w:before="240" w:after="240"/>
              <w:rPr>
                <w:rFonts w:ascii="標楷體" w:eastAsia="標楷體" w:hAnsi="標楷體" w:cs="新細明體"/>
                <w:kern w:val="0"/>
                <w:szCs w:val="24"/>
              </w:rPr>
            </w:pPr>
            <w:proofErr w:type="gramStart"/>
            <w:r>
              <w:rPr>
                <w:rFonts w:ascii="標楷體" w:eastAsia="標楷體" w:hAnsi="標楷體" w:cs="Arial" w:hint="eastAsia"/>
                <w:color w:val="000000"/>
                <w:kern w:val="0"/>
                <w:szCs w:val="24"/>
              </w:rPr>
              <w:t>學輔</w:t>
            </w:r>
            <w:r w:rsidR="00BE3397" w:rsidRPr="00BE3397">
              <w:rPr>
                <w:rFonts w:ascii="標楷體" w:eastAsia="標楷體" w:hAnsi="標楷體" w:cs="Arial"/>
                <w:color w:val="000000"/>
                <w:kern w:val="0"/>
                <w:szCs w:val="24"/>
              </w:rPr>
              <w:t>主任</w:t>
            </w:r>
            <w:proofErr w:type="gramEnd"/>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0305BD"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馮大明</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各項業務之規劃與執行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行政代表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6</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幼兒園主任</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542528"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羅</w:t>
            </w:r>
            <w:proofErr w:type="gramStart"/>
            <w:r>
              <w:rPr>
                <w:rFonts w:ascii="標楷體" w:eastAsia="標楷體" w:hAnsi="標楷體" w:cs="新細明體" w:hint="eastAsia"/>
                <w:kern w:val="0"/>
                <w:szCs w:val="24"/>
              </w:rPr>
              <w:t>珮瑋</w:t>
            </w:r>
            <w:proofErr w:type="gramEnd"/>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幼兒園業務之規劃與執行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行政代表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7</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教</w:t>
            </w:r>
            <w:r w:rsidR="00F76BDE">
              <w:rPr>
                <w:rFonts w:ascii="標楷體" w:eastAsia="標楷體" w:hAnsi="標楷體" w:cs="Arial" w:hint="eastAsia"/>
                <w:color w:val="000000"/>
                <w:kern w:val="0"/>
                <w:szCs w:val="24"/>
              </w:rPr>
              <w:t>學</w:t>
            </w:r>
            <w:r w:rsidRPr="00BE3397">
              <w:rPr>
                <w:rFonts w:ascii="標楷體" w:eastAsia="標楷體" w:hAnsi="標楷體" w:cs="Arial"/>
                <w:color w:val="000000"/>
                <w:kern w:val="0"/>
                <w:szCs w:val="24"/>
              </w:rPr>
              <w:t>組長</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542528"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吳岱</w:t>
            </w:r>
            <w:proofErr w:type="gramStart"/>
            <w:r>
              <w:rPr>
                <w:rFonts w:ascii="標楷體" w:eastAsia="標楷體" w:hAnsi="標楷體" w:cs="新細明體" w:hint="eastAsia"/>
                <w:kern w:val="0"/>
                <w:szCs w:val="24"/>
              </w:rPr>
              <w:t>螢</w:t>
            </w:r>
            <w:proofErr w:type="gramEnd"/>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各項業務之規劃與執行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行政代表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訓育組長</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542528" w:rsidP="00BE3397">
            <w:pPr>
              <w:widowControl/>
              <w:spacing w:before="240" w:after="240"/>
              <w:rPr>
                <w:rFonts w:ascii="標楷體" w:eastAsia="標楷體" w:hAnsi="標楷體" w:cs="新細明體"/>
                <w:kern w:val="0"/>
                <w:szCs w:val="24"/>
              </w:rPr>
            </w:pPr>
            <w:proofErr w:type="gramStart"/>
            <w:r>
              <w:rPr>
                <w:rFonts w:ascii="標楷體" w:eastAsia="標楷體" w:hAnsi="標楷體" w:cs="新細明體" w:hint="eastAsia"/>
                <w:kern w:val="0"/>
                <w:szCs w:val="24"/>
              </w:rPr>
              <w:t>左志方</w:t>
            </w:r>
            <w:proofErr w:type="gramEnd"/>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各項業務之規劃與執行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行政代表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9</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教 師</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542528"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劉如庭</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各項業務之規劃與執行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教師代表</w:t>
            </w:r>
          </w:p>
        </w:tc>
      </w:tr>
      <w:tr w:rsidR="00BE3397" w:rsidRPr="00BE3397" w:rsidTr="00BE3397">
        <w:trPr>
          <w:trHeight w:val="54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lastRenderedPageBreak/>
              <w:t>10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教 師</w:t>
            </w:r>
          </w:p>
        </w:tc>
        <w:tc>
          <w:tcPr>
            <w:tcW w:w="174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BE3397" w:rsidRPr="00BE3397" w:rsidRDefault="00542528" w:rsidP="00BE3397">
            <w:pPr>
              <w:widowControl/>
              <w:spacing w:before="240" w:after="240"/>
              <w:rPr>
                <w:rFonts w:ascii="標楷體" w:eastAsia="標楷體" w:hAnsi="標楷體" w:cs="新細明體"/>
                <w:kern w:val="0"/>
                <w:szCs w:val="24"/>
              </w:rPr>
            </w:pPr>
            <w:r>
              <w:rPr>
                <w:rFonts w:ascii="標楷體" w:eastAsia="標楷體" w:hAnsi="標楷體" w:cs="新細明體" w:hint="eastAsia"/>
                <w:kern w:val="0"/>
                <w:szCs w:val="24"/>
              </w:rPr>
              <w:t>邱建榮</w:t>
            </w:r>
          </w:p>
        </w:tc>
        <w:tc>
          <w:tcPr>
            <w:tcW w:w="340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各項業務之規劃與執行</w:t>
            </w:r>
          </w:p>
        </w:tc>
        <w:tc>
          <w:tcPr>
            <w:tcW w:w="141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教師代表</w:t>
            </w:r>
          </w:p>
        </w:tc>
      </w:tr>
    </w:tbl>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肆、對象：</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本校各年級學生及老師</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伍、重點工作：</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一、全校教學：</w:t>
      </w:r>
    </w:p>
    <w:p w:rsidR="00BE3397" w:rsidRPr="00BE3397" w:rsidRDefault="00BE3397" w:rsidP="00A2668B">
      <w:pPr>
        <w:widowControl/>
        <w:spacing w:before="240" w:after="240"/>
        <w:textAlignment w:val="baseline"/>
        <w:rPr>
          <w:rFonts w:ascii="標楷體" w:eastAsia="標楷體" w:hAnsi="標楷體" w:cs="Arial"/>
          <w:color w:val="000000"/>
          <w:kern w:val="0"/>
          <w:szCs w:val="24"/>
        </w:rPr>
      </w:pPr>
      <w:r w:rsidRPr="00BE3397">
        <w:rPr>
          <w:rFonts w:ascii="標楷體" w:eastAsia="標楷體" w:hAnsi="標楷體" w:cs="Arial"/>
          <w:b/>
          <w:bCs/>
          <w:color w:val="000000"/>
          <w:kern w:val="0"/>
          <w:szCs w:val="24"/>
        </w:rPr>
        <w:t>週</w:t>
      </w:r>
      <w:r>
        <w:rPr>
          <w:rFonts w:ascii="標楷體" w:eastAsia="標楷體" w:hAnsi="標楷體" w:cs="Arial" w:hint="eastAsia"/>
          <w:b/>
          <w:bCs/>
          <w:color w:val="000000"/>
          <w:kern w:val="0"/>
          <w:szCs w:val="24"/>
        </w:rPr>
        <w:t>一</w:t>
      </w:r>
      <w:r w:rsidRPr="00BE3397">
        <w:rPr>
          <w:rFonts w:ascii="標楷體" w:eastAsia="標楷體" w:hAnsi="標楷體" w:cs="Arial"/>
          <w:b/>
          <w:bCs/>
          <w:color w:val="000000"/>
          <w:kern w:val="0"/>
          <w:szCs w:val="24"/>
        </w:rPr>
        <w:t>母語日：</w:t>
      </w:r>
    </w:p>
    <w:p w:rsidR="00BE3397" w:rsidRPr="00BE3397" w:rsidRDefault="00A2668B" w:rsidP="00BE3397">
      <w:pPr>
        <w:widowControl/>
        <w:spacing w:before="240" w:after="240"/>
        <w:rPr>
          <w:rFonts w:ascii="標楷體" w:eastAsia="標楷體" w:hAnsi="標楷體" w:cs="新細明體"/>
          <w:kern w:val="0"/>
          <w:szCs w:val="24"/>
        </w:rPr>
      </w:pPr>
      <w:r>
        <w:rPr>
          <w:rFonts w:ascii="標楷體" w:eastAsia="標楷體" w:hAnsi="標楷體" w:cs="Arial" w:hint="eastAsia"/>
          <w:color w:val="000000"/>
          <w:kern w:val="0"/>
          <w:szCs w:val="24"/>
        </w:rPr>
        <w:t>每週一為母語日</w:t>
      </w:r>
      <w:r w:rsidR="002E39A3">
        <w:rPr>
          <w:rFonts w:ascii="標楷體" w:eastAsia="標楷體" w:hAnsi="標楷體" w:cs="Arial" w:hint="eastAsia"/>
          <w:color w:val="000000"/>
          <w:kern w:val="0"/>
          <w:szCs w:val="24"/>
        </w:rPr>
        <w:t>，學習內容為母語歌、諺語</w:t>
      </w:r>
      <w:r w:rsidR="00F76BDE">
        <w:rPr>
          <w:rFonts w:ascii="標楷體" w:eastAsia="標楷體" w:hAnsi="標楷體" w:cs="Arial" w:hint="eastAsia"/>
          <w:color w:val="000000"/>
          <w:kern w:val="0"/>
          <w:szCs w:val="24"/>
        </w:rPr>
        <w:t>及學生日常分享等，貼近學生日常語言使用</w:t>
      </w:r>
      <w:r w:rsidR="00BE3397" w:rsidRPr="00BE3397">
        <w:rPr>
          <w:rFonts w:ascii="標楷體" w:eastAsia="標楷體" w:hAnsi="標楷體" w:cs="Arial"/>
          <w:color w:val="000000"/>
          <w:kern w:val="0"/>
          <w:szCs w:val="24"/>
        </w:rPr>
        <w:t>。</w:t>
      </w:r>
    </w:p>
    <w:p w:rsidR="00BE3397" w:rsidRPr="00BE3397" w:rsidRDefault="00BE3397" w:rsidP="00A2668B">
      <w:pPr>
        <w:widowControl/>
        <w:spacing w:before="240" w:after="240"/>
        <w:textAlignment w:val="baseline"/>
        <w:rPr>
          <w:rFonts w:ascii="標楷體" w:eastAsia="標楷體" w:hAnsi="標楷體" w:cs="Arial"/>
          <w:color w:val="000000"/>
          <w:kern w:val="0"/>
          <w:szCs w:val="24"/>
        </w:rPr>
      </w:pPr>
      <w:r w:rsidRPr="00BE3397">
        <w:rPr>
          <w:rFonts w:ascii="標楷體" w:eastAsia="標楷體" w:hAnsi="標楷體" w:cs="Arial"/>
          <w:b/>
          <w:bCs/>
          <w:color w:val="000000"/>
          <w:kern w:val="0"/>
          <w:szCs w:val="24"/>
        </w:rPr>
        <w:t>鄉土語文競賽：</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每年3月初定期舉辦校內語文--鄉土語文競賽（辦法另訂），展現學習</w:t>
      </w:r>
      <w:proofErr w:type="gramStart"/>
      <w:r w:rsidRPr="00BE3397">
        <w:rPr>
          <w:rFonts w:ascii="標楷體" w:eastAsia="標楷體" w:hAnsi="標楷體" w:cs="Arial"/>
          <w:color w:val="000000"/>
          <w:kern w:val="0"/>
          <w:szCs w:val="24"/>
        </w:rPr>
        <w:t>成果並儲訓</w:t>
      </w:r>
      <w:proofErr w:type="gramEnd"/>
      <w:r w:rsidRPr="00BE3397">
        <w:rPr>
          <w:rFonts w:ascii="標楷體" w:eastAsia="標楷體" w:hAnsi="標楷體" w:cs="Arial"/>
          <w:color w:val="000000"/>
          <w:kern w:val="0"/>
          <w:szCs w:val="24"/>
        </w:rPr>
        <w:t>區賽代表。</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二、班級教學：</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每週</w:t>
      </w:r>
      <w:r w:rsidR="00A2668B">
        <w:rPr>
          <w:rFonts w:ascii="標楷體" w:eastAsia="標楷體" w:hAnsi="標楷體" w:cs="Arial" w:hint="eastAsia"/>
          <w:color w:val="000000"/>
          <w:kern w:val="0"/>
          <w:szCs w:val="24"/>
        </w:rPr>
        <w:t>一</w:t>
      </w:r>
      <w:r w:rsidRPr="00BE3397">
        <w:rPr>
          <w:rFonts w:ascii="標楷體" w:eastAsia="標楷體" w:hAnsi="標楷體" w:cs="Arial"/>
          <w:color w:val="000000"/>
          <w:kern w:val="0"/>
          <w:szCs w:val="24"/>
        </w:rPr>
        <w:t>每班安排一堂母語課，配合主題融入先民俗俚語的應用，讓學生更能貼近課本內容。</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三、評量：</w:t>
      </w:r>
    </w:p>
    <w:p w:rsidR="00BE3397" w:rsidRPr="00BE3397" w:rsidRDefault="00BE3397" w:rsidP="00BE3397">
      <w:pPr>
        <w:widowControl/>
        <w:spacing w:before="240" w:after="240"/>
        <w:rPr>
          <w:rFonts w:ascii="標楷體" w:eastAsia="標楷體" w:hAnsi="標楷體" w:cs="新細明體"/>
          <w:kern w:val="0"/>
          <w:szCs w:val="24"/>
        </w:rPr>
      </w:pPr>
      <w:proofErr w:type="gramStart"/>
      <w:r w:rsidRPr="00BE3397">
        <w:rPr>
          <w:rFonts w:ascii="標楷體" w:eastAsia="標楷體" w:hAnsi="標楷體" w:cs="Arial"/>
          <w:color w:val="000000"/>
          <w:kern w:val="0"/>
          <w:szCs w:val="24"/>
        </w:rPr>
        <w:t>閩語教學</w:t>
      </w:r>
      <w:proofErr w:type="gramEnd"/>
      <w:r w:rsidRPr="00BE3397">
        <w:rPr>
          <w:rFonts w:ascii="標楷體" w:eastAsia="標楷體" w:hAnsi="標楷體" w:cs="Arial"/>
          <w:color w:val="000000"/>
          <w:kern w:val="0"/>
          <w:szCs w:val="24"/>
        </w:rPr>
        <w:t>評量使用多元評量方式，如聽、說、唱歌及表演等，並兼顧形成性與總結性評量。</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陸、經費 ：</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實施鄉土語言教學預算之籌編，由學校本預算內支應。</w:t>
      </w:r>
    </w:p>
    <w:p w:rsidR="00BE3397" w:rsidRPr="00BE3397" w:rsidRDefault="00BE3397" w:rsidP="00BE3397">
      <w:pPr>
        <w:widowControl/>
        <w:spacing w:before="240" w:after="240"/>
        <w:rPr>
          <w:rFonts w:ascii="標楷體" w:eastAsia="標楷體" w:hAnsi="標楷體" w:cs="新細明體"/>
          <w:kern w:val="0"/>
          <w:szCs w:val="24"/>
        </w:rPr>
      </w:pPr>
      <w:proofErr w:type="gramStart"/>
      <w:r w:rsidRPr="00BE3397">
        <w:rPr>
          <w:rFonts w:ascii="標楷體" w:eastAsia="標楷體" w:hAnsi="標楷體" w:cs="Arial"/>
          <w:b/>
          <w:bCs/>
          <w:color w:val="000000"/>
          <w:kern w:val="0"/>
          <w:szCs w:val="24"/>
        </w:rPr>
        <w:t>柒</w:t>
      </w:r>
      <w:proofErr w:type="gramEnd"/>
      <w:r w:rsidRPr="00BE3397">
        <w:rPr>
          <w:rFonts w:ascii="標楷體" w:eastAsia="標楷體" w:hAnsi="標楷體" w:cs="Arial"/>
          <w:b/>
          <w:bCs/>
          <w:color w:val="000000"/>
          <w:kern w:val="0"/>
          <w:szCs w:val="24"/>
        </w:rPr>
        <w:t>、預期效益</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一、落實十二年國教課程，規劃本土語文教學，實現本土教育。</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二、學生能應用本土語文聽、說、讀、寫的基本能力，以擴充生活經驗，拓展學習領域。</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三、教師能持續專業成長，提昇本土語文之教學能力與教學品質。</w:t>
      </w:r>
    </w:p>
    <w:p w:rsidR="00BE3397" w:rsidRPr="00BE3397" w:rsidRDefault="00BE3397" w:rsidP="00BE3397">
      <w:pPr>
        <w:widowControl/>
        <w:spacing w:before="240" w:after="240"/>
        <w:ind w:rightChars="-82" w:right="-197"/>
        <w:rPr>
          <w:rFonts w:ascii="標楷體" w:eastAsia="標楷體" w:hAnsi="標楷體" w:cs="新細明體"/>
          <w:kern w:val="0"/>
          <w:szCs w:val="24"/>
        </w:rPr>
      </w:pPr>
      <w:r w:rsidRPr="00BE3397">
        <w:rPr>
          <w:rFonts w:ascii="標楷體" w:eastAsia="標楷體" w:hAnsi="標楷體" w:cs="Arial"/>
          <w:color w:val="000000"/>
          <w:kern w:val="0"/>
          <w:szCs w:val="24"/>
        </w:rPr>
        <w:lastRenderedPageBreak/>
        <w:t>四、教師積極體驗本土文化之美，提升教學興趣與研究成效。</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五、學生能用本土語言介紹家鄉文化的認識，並培養珍視愛惜與傳承創新本土文化的觀念。</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六、學生喜歡本土活動的探索體驗，養成主動觀察、解決問題的能力，並激發學生文化傳承之使命。</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七、學生願意應用族群語文，從中思考、理解、推理、協調、討論、欣賞、創作與解決問題。</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八、學生認識、了解、喜歡族群語文之興趣，並養成主動學習的習慣。</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九、語文培訓師生參加瑞芳分區語文競賽，並具有卓著績效</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color w:val="000000"/>
          <w:kern w:val="0"/>
          <w:szCs w:val="24"/>
        </w:rPr>
        <w:t>十、親子在家以本土語言溝通，並將影片上傳學校通訊群組分享，以增進本土語文教學之效果。</w:t>
      </w:r>
    </w:p>
    <w:p w:rsidR="00BE3397" w:rsidRPr="00BE3397" w:rsidRDefault="00BE3397" w:rsidP="00BE3397">
      <w:pPr>
        <w:widowControl/>
        <w:spacing w:before="240" w:after="240"/>
        <w:rPr>
          <w:rFonts w:ascii="標楷體" w:eastAsia="標楷體" w:hAnsi="標楷體" w:cs="新細明體"/>
          <w:kern w:val="0"/>
          <w:szCs w:val="24"/>
        </w:rPr>
      </w:pPr>
      <w:r w:rsidRPr="00BE3397">
        <w:rPr>
          <w:rFonts w:ascii="標楷體" w:eastAsia="標楷體" w:hAnsi="標楷體" w:cs="Arial"/>
          <w:b/>
          <w:bCs/>
          <w:color w:val="000000"/>
          <w:kern w:val="0"/>
          <w:szCs w:val="24"/>
        </w:rPr>
        <w:t>九、本計畫奉校長核定後實行，修正時亦同。</w:t>
      </w:r>
    </w:p>
    <w:p w:rsidR="00BE3397" w:rsidRPr="00BE3397" w:rsidRDefault="00BE3397">
      <w:pPr>
        <w:rPr>
          <w:rFonts w:ascii="標楷體" w:eastAsia="標楷體" w:hAnsi="標楷體"/>
          <w:szCs w:val="24"/>
        </w:rPr>
      </w:pPr>
    </w:p>
    <w:sectPr w:rsidR="00BE3397" w:rsidRPr="00BE339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17A2"/>
    <w:multiLevelType w:val="multilevel"/>
    <w:tmpl w:val="B3823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8C102F"/>
    <w:multiLevelType w:val="multilevel"/>
    <w:tmpl w:val="078C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CA24AB"/>
    <w:multiLevelType w:val="multilevel"/>
    <w:tmpl w:val="DF18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97"/>
    <w:rsid w:val="000305BD"/>
    <w:rsid w:val="002E39A3"/>
    <w:rsid w:val="00377291"/>
    <w:rsid w:val="00542528"/>
    <w:rsid w:val="00574C25"/>
    <w:rsid w:val="00692FCE"/>
    <w:rsid w:val="00761477"/>
    <w:rsid w:val="007C6817"/>
    <w:rsid w:val="00A2668B"/>
    <w:rsid w:val="00BE3397"/>
    <w:rsid w:val="00CE307F"/>
    <w:rsid w:val="00F00F80"/>
    <w:rsid w:val="00F76BD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2024-01-03T00:33:00Z</dcterms:created>
  <dcterms:modified xsi:type="dcterms:W3CDTF">2024-01-03T00:33:00Z</dcterms:modified>
</cp:coreProperties>
</file>